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0" w:rsidRPr="00691060" w:rsidRDefault="00675619" w:rsidP="00691060">
      <w:pPr>
        <w:spacing w:after="0" w:line="240" w:lineRule="auto"/>
        <w:ind w:right="-1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  <w:r w:rsidRPr="0069106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разработке</w:t>
      </w:r>
      <w:r w:rsidRPr="0069106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91060" w:rsidRPr="00691060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Кабинета Министров Кыргызской Республики «Об утверждении </w:t>
      </w:r>
      <w:r w:rsidR="00691060" w:rsidRPr="00691060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691060" w:rsidRPr="0069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инимальных </w:t>
      </w:r>
      <w:r w:rsidR="00691060" w:rsidRPr="006910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санитарных </w:t>
      </w:r>
      <w:r w:rsidR="00691060" w:rsidRPr="0069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по безопасности и </w:t>
      </w:r>
      <w:r w:rsidR="00691060" w:rsidRPr="00691060">
        <w:rPr>
          <w:rFonts w:ascii="Times New Roman" w:hAnsi="Times New Roman" w:cs="Times New Roman"/>
          <w:b/>
          <w:sz w:val="28"/>
          <w:szCs w:val="28"/>
        </w:rPr>
        <w:t xml:space="preserve">минимальных требований по обеспечению пожарной безопасности </w:t>
      </w:r>
      <w:r w:rsidR="00691060" w:rsidRPr="0069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 пребывания детей при организации услуг дошкольного образования, предоставляемых в жилых помещениях индивидуальными предпринимателями»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619" w:rsidRPr="00691060" w:rsidRDefault="00675619" w:rsidP="00675619">
      <w:pPr>
        <w:spacing w:after="0" w:line="240" w:lineRule="auto"/>
        <w:ind w:right="-1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Настоящим Министерство здравоохранения Кыргызской Республики извещает о начале обсуждения правового регулирования и сборе предложений заинтересованных лиц по</w:t>
      </w:r>
      <w:r w:rsidRPr="00691060">
        <w:rPr>
          <w:rFonts w:ascii="Times New Roman" w:hAnsi="Times New Roman" w:cs="Times New Roman"/>
          <w:sz w:val="28"/>
          <w:szCs w:val="28"/>
        </w:rPr>
        <w:t xml:space="preserve"> проекту Постановления Кабинета Министров Кыргызской Республики «Об утверждении </w:t>
      </w:r>
      <w:r w:rsidRPr="0069106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инимальных </w:t>
      </w:r>
      <w:r w:rsidRPr="00691060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санитарных </w:t>
      </w:r>
      <w:r w:rsidRPr="006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безопасности и </w:t>
      </w:r>
      <w:r w:rsidRPr="00691060">
        <w:rPr>
          <w:rFonts w:ascii="Times New Roman" w:hAnsi="Times New Roman" w:cs="Times New Roman"/>
          <w:sz w:val="28"/>
          <w:szCs w:val="28"/>
        </w:rPr>
        <w:t xml:space="preserve">минимальных требований по обеспечению пожарной безопасности </w:t>
      </w:r>
      <w:r w:rsidRPr="006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пребывания детей при организации услуг дошкольного образования, предоставляемых в жилых помещениях индивидуальными предпринимателями». </w:t>
      </w:r>
    </w:p>
    <w:p w:rsidR="00675619" w:rsidRPr="00691060" w:rsidRDefault="00675619" w:rsidP="00675619">
      <w:pPr>
        <w:spacing w:after="0" w:line="240" w:lineRule="auto"/>
        <w:ind w:right="-1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D73D0" w:rsidRPr="00691060" w:rsidRDefault="00675619" w:rsidP="004D73D0">
      <w:pPr>
        <w:pStyle w:val="Defaul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Описание проблем, на решение которых направлено предлагаемое регулирование. </w:t>
      </w:r>
    </w:p>
    <w:p w:rsidR="004D73D0" w:rsidRPr="00691060" w:rsidRDefault="00675619" w:rsidP="004D73D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На начало 2021 года в Кыргызской Республике проживало 2 млн. 512 тыс. детей (от 0 до 18 лет). Подавляющее большинство детей (67%) проживает в сельских населенных пунктах. Ежегодно в среднем в Кыргызстане рождается около 150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детей. В 2020 году родилось более 158 тыс. детей. </w:t>
      </w:r>
    </w:p>
    <w:p w:rsidR="004D73D0" w:rsidRPr="00691060" w:rsidRDefault="00675619" w:rsidP="004D73D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Из общей численности детей на начало 2021 года: </w:t>
      </w:r>
    </w:p>
    <w:p w:rsidR="004D73D0" w:rsidRPr="00691060" w:rsidRDefault="00675619" w:rsidP="004D73D0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• 44% - дети в возрасте до 7 лет; </w:t>
      </w:r>
    </w:p>
    <w:p w:rsidR="004D73D0" w:rsidRPr="00691060" w:rsidRDefault="00675619" w:rsidP="004D73D0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• 43% - в возрасте 7-14 лет (1 млн. 74 тыс. человек); </w:t>
      </w:r>
    </w:p>
    <w:p w:rsidR="00675619" w:rsidRPr="00691060" w:rsidRDefault="00675619" w:rsidP="00691060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• 13% - подростки в возрасте 15-17 лет (320 тыс. человек). </w:t>
      </w:r>
    </w:p>
    <w:p w:rsidR="004D73D0" w:rsidRPr="00691060" w:rsidRDefault="00675619" w:rsidP="004D73D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На сегодня охват дошкольным образованием в КР составляет около 200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детей из 1 млн 118 тысяч детей дошкольного возраста до семи лет. По </w:t>
      </w:r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данным </w:t>
      </w: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Национального Статистического Комитета КР охват дошкольным образованием составляет 23,9%. Данный показатель является самым низким среди стран региона. В России и Казахстане охват дошкольным образованием составляет более 90%, в Узбекистане около 60%. </w:t>
      </w:r>
    </w:p>
    <w:p w:rsidR="004D73D0" w:rsidRPr="00691060" w:rsidRDefault="00675619" w:rsidP="004D73D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Национальная программа развития КР до 2026 года, утвержденная Указом Президента КР 12 октября 2022 года, поставила задачу увеличить охват дошкольным образованием в два раза. Увеличения охвата можно добиться через создание условий для быстрого развития услуг ухода и дошкольного образования. На сегодня в стране действует около 1,712 детских садов (которые посещают около 200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детей), из которых 1,500 государственных и муниципальных и 212 частных. 95% детей посещают государственные / муниципальные детские сады, частные детские сады </w:t>
      </w:r>
      <w:r w:rsidRPr="006910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посещают около 5%. </w:t>
      </w:r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060">
        <w:rPr>
          <w:rFonts w:ascii="Times New Roman" w:hAnsi="Times New Roman" w:cs="Times New Roman"/>
          <w:color w:val="auto"/>
          <w:sz w:val="28"/>
          <w:szCs w:val="28"/>
        </w:rPr>
        <w:t>По оценкам специалистов Министерства образования и науки КР (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МОиН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) и независимых экспертов стране дополнительно нужны более 2,500 детских садов. Государство строит детские сады, но рост очень медленный. Государство не может покрыть потребности в ближайшие годы при растущей потребности, связанной с демографическими процессами. Главным барьером является отсутствие достаточных бюджетных средств. Аналогичная причина (отсутствие достаточных средств) у местных органов самоуправления (МСУ). На сегодня почти половина бюджетов МСУ уходит на образование (содержание школ, детсадов), но денег не хватает. Из 453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айыл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окмоту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377 (или 84%) являются дотационными. </w:t>
      </w:r>
    </w:p>
    <w:p w:rsidR="004D73D0" w:rsidRPr="00691060" w:rsidRDefault="00675619" w:rsidP="004D73D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>Количество частных детских садов растет, но рост медленный. Кроме того, частные детские сады, как правило</w:t>
      </w:r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рассчитаны на небольшое количество детей (как правило, не более 100 детей, типовые государственные детсады рассчитаны, как правило, на 140 детей) и более. Главными барьерами являются практически непреодолимые бюрократические требования при создании детсадов, в частности, чрезмерные барьеры со стороны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МОиН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>, необоснованные и ус</w:t>
      </w:r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таревшие требования санитарно-эпидемиологических норм и правил и градостроительные барьеры. Данные препятствия вынуждают поставщиков дошкольных услуг уходить в неформальный рынок экономики. </w:t>
      </w:r>
    </w:p>
    <w:p w:rsidR="00675619" w:rsidRPr="00691060" w:rsidRDefault="004D73D0" w:rsidP="009B726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>При этом следует отметить, что л</w:t>
      </w:r>
      <w:r w:rsidR="00675619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ицензию на образовательную деятельность может получить только юридическое лицо. Индивидуальный предприниматель не вправе получить лицензию, хотя Закон о Лицензионно-разрешительной системе от 2013 года (далее – Закон о ЛРС) предусматривает возможность получения лицензии индивидуальным предпринимателем. Согласно требованиям Временного Положения о лицензировании образовательной деятельности (2018), заявитель – юридическое лицо, помимо предоставления заключений санитарной и пожарной инспекции, должен представить в </w:t>
      </w:r>
      <w:proofErr w:type="spellStart"/>
      <w:r w:rsidR="00675619" w:rsidRPr="00691060">
        <w:rPr>
          <w:rFonts w:ascii="Times New Roman" w:hAnsi="Times New Roman" w:cs="Times New Roman"/>
          <w:color w:val="auto"/>
          <w:sz w:val="28"/>
          <w:szCs w:val="28"/>
        </w:rPr>
        <w:t>МОиН</w:t>
      </w:r>
      <w:proofErr w:type="spellEnd"/>
      <w:r w:rsidR="00675619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десятки документов, свидетельствующих о выполнении лицензионных требований. Кро</w:t>
      </w: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ме того,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МОиН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5619" w:rsidRPr="00691060">
        <w:rPr>
          <w:rFonts w:ascii="Times New Roman" w:hAnsi="Times New Roman" w:cs="Times New Roman"/>
          <w:color w:val="auto"/>
          <w:sz w:val="28"/>
          <w:szCs w:val="28"/>
        </w:rPr>
        <w:t>требует 100% оборудования еще до открытия детского сада</w:t>
      </w: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75619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лицензирования занимает от 3-х месяцев до полугода и больше. </w:t>
      </w:r>
    </w:p>
    <w:p w:rsidR="004D73D0" w:rsidRPr="00691060" w:rsidRDefault="00675619" w:rsidP="009B7267">
      <w:pPr>
        <w:pStyle w:val="Default"/>
        <w:jc w:val="both"/>
        <w:rPr>
          <w:color w:val="auto"/>
          <w:sz w:val="23"/>
          <w:szCs w:val="23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Закон о Лицензионно-разрешительной системе (Закон о ЛРС) требует получение одним юридическим лицом одной лицензии. Несмотря на это, сотрудники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МОиН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требуют получать в дополнение к лицензии на юридическое лицо также получать лицензии на каждый новый филиал и на каждую новую образовательную программу. </w:t>
      </w:r>
    </w:p>
    <w:p w:rsidR="004D73D0" w:rsidRPr="00691060" w:rsidRDefault="00675619" w:rsidP="009B7267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получения лицензии на образовательную деятельность заявитель должен предоставить заключения Государственной санитарно-эпидемиологической службы </w:t>
      </w:r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91060">
        <w:rPr>
          <w:rFonts w:ascii="Times New Roman" w:hAnsi="Times New Roman" w:cs="Times New Roman"/>
          <w:color w:val="auto"/>
          <w:sz w:val="28"/>
          <w:szCs w:val="28"/>
        </w:rPr>
        <w:t>соответствии Санитарно-эпидемиологическим требованиям к устройству, содержанию и организации режима работы в дошкольных образовательных организациях», утвержденны</w:t>
      </w:r>
      <w:r w:rsidR="009B7267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м Правительством КР в 2016 году. </w:t>
      </w: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Первым требованием для получения такого заключения является то, что здание или помещение не должно быть частным жилым домом. То есть здание /помещение должно быть расположено в нежилых помещениях. </w:t>
      </w:r>
      <w:r w:rsidR="009B7267" w:rsidRPr="00691060">
        <w:rPr>
          <w:rFonts w:ascii="Times New Roman" w:hAnsi="Times New Roman" w:cs="Times New Roman"/>
          <w:color w:val="auto"/>
          <w:sz w:val="28"/>
          <w:szCs w:val="28"/>
        </w:rPr>
        <w:t>Если здание жилое, то санитарно-эпидемиологическая служба требуе</w:t>
      </w:r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т его документального перепрофилирования в нежилое. При этом здание не меняется, только нужно пройти бюрократические процедуры и получить документ, за который нужно заплатить. Для подготовки некоторых документов требуется финансовые средства. </w:t>
      </w:r>
      <w:proofErr w:type="gramStart"/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>Например</w:t>
      </w:r>
      <w:proofErr w:type="gramEnd"/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договор аренды, который нужно заверить в нотариусе, а потом зарегистрировать в </w:t>
      </w:r>
      <w:proofErr w:type="spellStart"/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>госрегистре</w:t>
      </w:r>
      <w:proofErr w:type="spellEnd"/>
      <w:r w:rsidR="004D73D0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, везде требуется оплачивать пошлину. </w:t>
      </w:r>
    </w:p>
    <w:p w:rsidR="004D73D0" w:rsidRPr="00691060" w:rsidRDefault="004D73D0" w:rsidP="009B726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>Если в городах такое требование более или менее выполнимо, то в сельский местности или в новостройках (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жилмассивах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), прилегающих к городам, данное требование практически невыполнимо. При этом нужно учесть, что 67% детей в стране проживают в сельской местности, а в 53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жилмассивах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Бишкека, например, проживает почти четверть населения города (около 250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человек), находящихся за чертой бедности. В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жилмассивах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практически отсутствуют объекты социальной инфраструктуры и нежилой фонд, так как многие дома построены в результате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самозахвата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земель без технической документации. </w:t>
      </w:r>
    </w:p>
    <w:p w:rsidR="004D73D0" w:rsidRPr="00691060" w:rsidRDefault="004D73D0" w:rsidP="009B726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заключения Санитарной службы, так и для получения лицензии в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МоиН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требуется представить технический паспорт на здание/ помещение. В основном, в сельской местности, также как и </w:t>
      </w:r>
      <w:proofErr w:type="spellStart"/>
      <w:r w:rsidRPr="00691060">
        <w:rPr>
          <w:rFonts w:ascii="Times New Roman" w:hAnsi="Times New Roman" w:cs="Times New Roman"/>
          <w:color w:val="auto"/>
          <w:sz w:val="28"/>
          <w:szCs w:val="28"/>
        </w:rPr>
        <w:t>жилмассивах</w:t>
      </w:r>
      <w:proofErr w:type="spellEnd"/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паспортов на здания/помещения практически нет. </w:t>
      </w:r>
    </w:p>
    <w:p w:rsidR="004D73D0" w:rsidRPr="00691060" w:rsidRDefault="004D73D0" w:rsidP="009B726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Хотя пункт 4 СанПиНов требует, чтобы в одной группе было не более 20-25 человек, но данный пункт нарушается практически во всех государственных/муниципальных детсадах, где в одной группе количество детей доходит до 80-90 человек. </w:t>
      </w:r>
    </w:p>
    <w:p w:rsidR="004D73D0" w:rsidRPr="00691060" w:rsidRDefault="004D73D0" w:rsidP="009B726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СанПиНы ставят непреодолимые барьеры для принятия в детсады детей с инвалидностью. Согласно СанПиНам в группе с такими детьми количество не должно превышать 6 или 8 человек. Кроме того, много требований по оборудованию и оснащению. Поэтому многие детсады (как государственные, так и частные) отказываются брать детей с инвалидностью. </w:t>
      </w:r>
    </w:p>
    <w:p w:rsidR="00675619" w:rsidRPr="00691060" w:rsidRDefault="004D73D0" w:rsidP="009B7267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060">
        <w:rPr>
          <w:rFonts w:ascii="Times New Roman" w:hAnsi="Times New Roman" w:cs="Times New Roman"/>
          <w:color w:val="auto"/>
          <w:sz w:val="28"/>
          <w:szCs w:val="28"/>
        </w:rPr>
        <w:lastRenderedPageBreak/>
        <w:t>Ряд положений СанПиНов содержит требования, которые на сегодня являются невыполнимыми в связи с изменением городской среды и плотной застройкой. Например, расстояние от проезда до здания детского сада должно быть не менее 25 метров. Данное требование в городах практически невыполнимо из-за отсутствия свободной земли в городах. Территория детсада по периметру должна быть ограждена забором и полосой зеленых насаждений, деревья должны высаживаться на расстоянии не ближе 15 м, а кустарники - не ближе 5 м от здания детского сада. Это требование для многих частных детсадов тоже практически невыполнимо. Согласно пункту 19 СанПиНов в зоне игровой территории групповая площадка должна быть в расчете не менее 7,2 кв. м. на 1 ребенка ясельного возраста, не менее 9,0 кв.м. на 1 ребенка дошкольного возраста. Теневой навес для защиты детей от солнца и осадков на территории каждой групповой площадки должен быть из расчета не менее 2</w:t>
      </w:r>
      <w:r w:rsidR="009B7267" w:rsidRPr="00691060">
        <w:rPr>
          <w:rFonts w:ascii="Times New Roman" w:hAnsi="Times New Roman" w:cs="Times New Roman"/>
          <w:color w:val="auto"/>
          <w:sz w:val="28"/>
          <w:szCs w:val="28"/>
        </w:rPr>
        <w:t xml:space="preserve"> кв.м. на одного ребенка. Для групп с численностью менее 15 человек площадь теневого навеса должна быть не менее 30 кв.м. Согласно пункту 47 высота от пола до потолка основных помещений детсада должны быть не менее 3 метров (хотя таких зданий с такими высокими потолками мало в КР). Требования о наличии раздевальной комнаты, спальной, игровой и санитарного узла для каждой группы – эти и другие требования практически не выполнимыми для многих частных детсадов. </w:t>
      </w:r>
      <w:r w:rsidR="00675619" w:rsidRPr="00691060">
        <w:rPr>
          <w:rFonts w:ascii="Times New Roman" w:hAnsi="Times New Roman" w:cs="Times New Roman"/>
          <w:color w:val="auto"/>
          <w:sz w:val="28"/>
          <w:szCs w:val="28"/>
        </w:rPr>
        <w:t>На сегодня все требования для открытия детских садов направлены исключительно на регулирование инфраструктуры и не создают условия для развития самой дошкольной услуги.</w:t>
      </w:r>
    </w:p>
    <w:p w:rsidR="00675619" w:rsidRPr="00691060" w:rsidRDefault="00675619" w:rsidP="00B93E71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 xml:space="preserve">Описание цели предлагаемого регулирования </w:t>
      </w:r>
      <w:r w:rsidR="00B93E71" w:rsidRPr="00691060">
        <w:rPr>
          <w:rFonts w:ascii="Times New Roman" w:eastAsia="Times New Roman" w:hAnsi="Times New Roman" w:cs="Times New Roman"/>
          <w:sz w:val="28"/>
          <w:szCs w:val="28"/>
        </w:rPr>
        <w:t xml:space="preserve">и способа решения проблем. </w:t>
      </w:r>
    </w:p>
    <w:p w:rsidR="00FA68C7" w:rsidRPr="00691060" w:rsidRDefault="00FA68C7" w:rsidP="00FA68C7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1060">
        <w:rPr>
          <w:rFonts w:ascii="Times New Roman" w:eastAsia="Calibri" w:hAnsi="Times New Roman" w:cs="Times New Roman"/>
          <w:sz w:val="28"/>
          <w:szCs w:val="28"/>
          <w:lang w:eastAsia="en-US"/>
        </w:rPr>
        <w:t>Для решения задачи по повышению охвата детей дошкольным образованием, наряду с действующей в Кыргызской Республике системой по дошкольному образованию, вводится новый субъект, предоставляющий услуги по дошкольному образованию. Данным субъектом является физическое лицо, зарегистрированное в качестве индивидуального предпринимателя, предоставляющее услуги дошкольного образования в жилых помещениях.</w:t>
      </w:r>
      <w:r w:rsidRPr="00691060">
        <w:rPr>
          <w:rFonts w:eastAsia="Calibri"/>
          <w:sz w:val="28"/>
          <w:szCs w:val="28"/>
          <w:lang w:eastAsia="en-US"/>
        </w:rPr>
        <w:t xml:space="preserve"> </w:t>
      </w:r>
      <w:r w:rsidR="00B93E71" w:rsidRPr="00691060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предлагаемого регулирования является создание условий для развития  малого и среднего бизнеса в секторе дошкольного образования. Предоставляется возможность индивидуальным предпринимателям оказывать услуги дошкольного образования в жилых помещениях при условии соблюдения минимальных  </w:t>
      </w:r>
      <w:r w:rsidR="00B93E71" w:rsidRPr="00691060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санитарных </w:t>
      </w:r>
      <w:r w:rsidR="00B93E71" w:rsidRPr="006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безопасности и </w:t>
      </w:r>
      <w:r w:rsidR="00B93E71" w:rsidRPr="00691060">
        <w:rPr>
          <w:rFonts w:ascii="Times New Roman" w:hAnsi="Times New Roman" w:cs="Times New Roman"/>
          <w:sz w:val="28"/>
          <w:szCs w:val="28"/>
        </w:rPr>
        <w:t xml:space="preserve">минимальных требований по обеспечению пожарной безопасности </w:t>
      </w:r>
      <w:r w:rsidR="00B93E71" w:rsidRPr="0069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пребывания детей. </w:t>
      </w:r>
    </w:p>
    <w:p w:rsidR="00FA68C7" w:rsidRPr="00691060" w:rsidRDefault="00FA68C7" w:rsidP="00FA68C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60">
        <w:rPr>
          <w:rFonts w:ascii="Times New Roman" w:hAnsi="Times New Roman" w:cs="Times New Roman"/>
          <w:sz w:val="28"/>
          <w:szCs w:val="28"/>
        </w:rPr>
        <w:t xml:space="preserve">Представленные минимальные требования по обеспечению пожарной безопасности и минимальные санитарные требования по безопасности услуг дошкольного образования разработаны в соответствии </w:t>
      </w:r>
      <w:r w:rsidRPr="00691060">
        <w:rPr>
          <w:rFonts w:ascii="Times New Roman" w:hAnsi="Times New Roman" w:cs="Times New Roman"/>
          <w:sz w:val="28"/>
          <w:szCs w:val="28"/>
        </w:rPr>
        <w:lastRenderedPageBreak/>
        <w:t xml:space="preserve">с действующими нормами, санитарно-эпидемиологическими правилами и правилами пожарной безопасности, распространяются на жилые дома и помещения при организации услуг дошкольного образования, оказываемые индивидуальными предпринимателями. </w:t>
      </w:r>
    </w:p>
    <w:p w:rsidR="00FA68C7" w:rsidRPr="00691060" w:rsidRDefault="00FA68C7" w:rsidP="00FA68C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60">
        <w:rPr>
          <w:rFonts w:ascii="Times New Roman" w:hAnsi="Times New Roman" w:cs="Times New Roman"/>
          <w:sz w:val="28"/>
          <w:szCs w:val="28"/>
        </w:rPr>
        <w:t xml:space="preserve">Указанные минимальные требования по обеспечению пожарной безопасности и минимальные санитарные требования по безопасности </w:t>
      </w:r>
      <w:r w:rsidRPr="00691060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применяются</w:t>
      </w:r>
      <w:r w:rsidRPr="006910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помещениям и организации </w:t>
      </w:r>
      <w:r w:rsidRPr="00691060">
        <w:rPr>
          <w:rFonts w:ascii="Times New Roman" w:hAnsi="Times New Roman" w:cs="Times New Roman"/>
          <w:sz w:val="28"/>
          <w:szCs w:val="28"/>
        </w:rPr>
        <w:t xml:space="preserve">услуг дошкольного образования, предоставляемых индивидуальными предпринимателями, </w:t>
      </w:r>
      <w:r w:rsidRPr="006910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частных домах до 25 детей и в многоэтажных домах (квартирах) до 10 детей.</w:t>
      </w:r>
    </w:p>
    <w:p w:rsidR="00B93E71" w:rsidRPr="00691060" w:rsidRDefault="00B93E71" w:rsidP="00FA68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619" w:rsidRPr="00691060" w:rsidRDefault="00675619" w:rsidP="00FA68C7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865346" w:rsidRPr="00691060">
        <w:rPr>
          <w:rFonts w:ascii="Times New Roman" w:eastAsia="Times New Roman" w:hAnsi="Times New Roman" w:cs="Times New Roman"/>
          <w:sz w:val="28"/>
          <w:szCs w:val="28"/>
        </w:rPr>
        <w:t xml:space="preserve">а ожидаемых выгод и преимуществ </w:t>
      </w:r>
      <w:r w:rsidRPr="00691060">
        <w:rPr>
          <w:rFonts w:ascii="Times New Roman" w:eastAsia="Times New Roman" w:hAnsi="Times New Roman" w:cs="Times New Roman"/>
          <w:sz w:val="28"/>
          <w:szCs w:val="28"/>
        </w:rPr>
        <w:t>предлагаемого регулирования</w:t>
      </w:r>
      <w:r w:rsidR="00FA68C7" w:rsidRPr="006910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68C7" w:rsidRPr="00691060" w:rsidRDefault="00FA68C7" w:rsidP="00FA68C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 xml:space="preserve">Преимуществом такого подхода является </w:t>
      </w:r>
      <w:r w:rsidR="00EB151A" w:rsidRPr="00691060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развития малого и среднего бизнеса, особенно для роста женского предпринимательства, </w:t>
      </w:r>
      <w:r w:rsidR="00865346" w:rsidRPr="00691060">
        <w:rPr>
          <w:rFonts w:ascii="Times New Roman" w:eastAsia="Times New Roman" w:hAnsi="Times New Roman" w:cs="Times New Roman"/>
          <w:sz w:val="28"/>
          <w:szCs w:val="28"/>
        </w:rPr>
        <w:t>перехода в формальный сектор экономики</w:t>
      </w:r>
      <w:r w:rsidR="00EB151A" w:rsidRPr="006910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5346" w:rsidRPr="00691060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691060" w:rsidRPr="00691060">
        <w:rPr>
          <w:rFonts w:ascii="Times New Roman" w:hAnsi="Times New Roman" w:cs="Times New Roman"/>
          <w:sz w:val="28"/>
          <w:szCs w:val="28"/>
        </w:rPr>
        <w:t>устраняются</w:t>
      </w:r>
      <w:r w:rsidR="00865346" w:rsidRPr="00691060">
        <w:rPr>
          <w:rFonts w:ascii="Times New Roman" w:hAnsi="Times New Roman" w:cs="Times New Roman"/>
          <w:sz w:val="28"/>
          <w:szCs w:val="28"/>
        </w:rPr>
        <w:t xml:space="preserve"> бюрократические барьеры</w:t>
      </w:r>
      <w:r w:rsidR="00691060" w:rsidRPr="00691060">
        <w:rPr>
          <w:rFonts w:ascii="Times New Roman" w:hAnsi="Times New Roman" w:cs="Times New Roman"/>
          <w:sz w:val="28"/>
          <w:szCs w:val="28"/>
        </w:rPr>
        <w:t xml:space="preserve">, связанные процедурами лицензирования юридических лиц и требованиям к нежилым помещениям.  </w:t>
      </w:r>
    </w:p>
    <w:p w:rsidR="00EB151A" w:rsidRPr="00691060" w:rsidRDefault="00EB151A" w:rsidP="00FA68C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 xml:space="preserve">Основная ожидаемая выгода – увеличение охвата безопасными услугами дошкольного образования детей от 1 до 6 лет.   </w:t>
      </w:r>
    </w:p>
    <w:p w:rsidR="00675619" w:rsidRPr="00691060" w:rsidRDefault="00675619" w:rsidP="00EB151A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 xml:space="preserve">Оценка возможных неблагоприятных последствий (при возможности, привести соответствующие количественные и </w:t>
      </w:r>
      <w:r w:rsidR="00EB151A" w:rsidRPr="00691060">
        <w:rPr>
          <w:rFonts w:ascii="Times New Roman" w:eastAsia="Times New Roman" w:hAnsi="Times New Roman" w:cs="Times New Roman"/>
          <w:sz w:val="28"/>
          <w:szCs w:val="28"/>
        </w:rPr>
        <w:t xml:space="preserve">качественные показатели). </w:t>
      </w:r>
    </w:p>
    <w:p w:rsidR="00EB151A" w:rsidRPr="00691060" w:rsidRDefault="00EB151A" w:rsidP="00EB151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Неблагоприятные последствия не предусматриваются. </w:t>
      </w:r>
    </w:p>
    <w:p w:rsidR="00675619" w:rsidRPr="00691060" w:rsidRDefault="00675619" w:rsidP="00EB151A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Характеристика и оценка численности субъектов предпринимательства - адреса</w:t>
      </w:r>
      <w:r w:rsidR="00EB151A" w:rsidRPr="00691060">
        <w:rPr>
          <w:rFonts w:ascii="Times New Roman" w:eastAsia="Times New Roman" w:hAnsi="Times New Roman" w:cs="Times New Roman"/>
          <w:sz w:val="28"/>
          <w:szCs w:val="28"/>
        </w:rPr>
        <w:t xml:space="preserve">тов предлагаемого регулирования. </w:t>
      </w:r>
    </w:p>
    <w:p w:rsidR="00EB151A" w:rsidRPr="00691060" w:rsidRDefault="00EB151A" w:rsidP="00EB151A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 xml:space="preserve">Данный субъект индивидуальной предпринимательской деятельности в секторе дошкольного образования находится на этапе формирования. На первом этапе планируется 250 в городе Бишкек, в последующем планируется поэтапное внедрение в других регионах Кыргызской Республики в зависимости от потребностей в данных услугам на местах.   </w:t>
      </w:r>
    </w:p>
    <w:p w:rsidR="00675619" w:rsidRPr="00691060" w:rsidRDefault="00675619" w:rsidP="00EB151A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Приблизительная оценка дополнительных расходов и выгод потенциальных адресатов предлагаемого регулиров</w:t>
      </w:r>
      <w:r w:rsidR="00EB151A" w:rsidRPr="00691060">
        <w:rPr>
          <w:rFonts w:ascii="Times New Roman" w:eastAsia="Times New Roman" w:hAnsi="Times New Roman" w:cs="Times New Roman"/>
          <w:sz w:val="28"/>
          <w:szCs w:val="28"/>
        </w:rPr>
        <w:t xml:space="preserve">ания, связанных с его введением. </w:t>
      </w:r>
    </w:p>
    <w:p w:rsidR="00EB151A" w:rsidRPr="00691060" w:rsidRDefault="00865346" w:rsidP="00865346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 xml:space="preserve">Все расходы потенциальных адресатов предлагаемого регулирования, связанных с его введением, минимальны для начала индивидуальной предпринимательской деятельности. Основные выгоды связаны с переходом в формальный сектор экономики действующих индивидуальных предпринимателей, предоставляющих услуги дошкольного образования, но не имеющие возможности получения лицензии. </w:t>
      </w:r>
    </w:p>
    <w:p w:rsidR="00675619" w:rsidRPr="00691060" w:rsidRDefault="00675619" w:rsidP="00691060">
      <w:pPr>
        <w:pStyle w:val="a3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lastRenderedPageBreak/>
        <w:t>Приблизительная оценка расходов и выгод республиканского/местного бюджета, связанных с введен</w:t>
      </w:r>
      <w:r w:rsidR="00691060" w:rsidRPr="00691060">
        <w:rPr>
          <w:rFonts w:ascii="Times New Roman" w:eastAsia="Times New Roman" w:hAnsi="Times New Roman" w:cs="Times New Roman"/>
          <w:sz w:val="28"/>
          <w:szCs w:val="28"/>
        </w:rPr>
        <w:t xml:space="preserve">ием предлагаемого регулирования. </w:t>
      </w:r>
    </w:p>
    <w:p w:rsidR="00691060" w:rsidRPr="00691060" w:rsidRDefault="00691060" w:rsidP="0069106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7F7F8"/>
        <w:spacing w:before="300" w:after="300"/>
        <w:ind w:firstLine="708"/>
        <w:jc w:val="both"/>
        <w:rPr>
          <w:rFonts w:ascii="Times New Roman" w:eastAsia="Roboto" w:hAnsi="Times New Roman" w:cs="Times New Roman"/>
          <w:sz w:val="28"/>
          <w:szCs w:val="28"/>
          <w:highlight w:val="white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расходов из республиканского и местного бюджета не предполагается. Ключевыми выгодами для государственных органов и ОМСУ является увеличение охвата услугами дошкольного образования детей от 1 до 6 лет и выполнением задачи, </w:t>
      </w:r>
      <w:r w:rsidRPr="00691060">
        <w:rPr>
          <w:rFonts w:ascii="Times New Roman" w:eastAsia="Roboto" w:hAnsi="Times New Roman" w:cs="Times New Roman"/>
          <w:sz w:val="28"/>
          <w:szCs w:val="28"/>
          <w:highlight w:val="white"/>
        </w:rPr>
        <w:t>поставленной Национальной программой развития Кыргызской Республики</w:t>
      </w:r>
      <w:r>
        <w:rPr>
          <w:rFonts w:ascii="Times New Roman" w:eastAsia="Roboto" w:hAnsi="Times New Roman" w:cs="Times New Roman"/>
          <w:sz w:val="28"/>
          <w:szCs w:val="28"/>
          <w:highlight w:val="white"/>
        </w:rPr>
        <w:t xml:space="preserve"> до 2026 года</w:t>
      </w:r>
      <w:r w:rsidRPr="00691060">
        <w:rPr>
          <w:rFonts w:ascii="Times New Roman" w:eastAsia="Roboto" w:hAnsi="Times New Roman" w:cs="Times New Roman"/>
          <w:sz w:val="28"/>
          <w:szCs w:val="28"/>
          <w:highlight w:val="white"/>
        </w:rPr>
        <w:t>, утвержденной Указом Президента Кыргызской Республики 12 октября 2021 года.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</w:t>
      </w:r>
      <w:r w:rsidR="0069106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</w:t>
      </w:r>
      <w:r w:rsidRPr="006910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1. Перечень вопросов для участников публичных консультаций: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- являются ли указанные проблемы верными, требующими решения путем изменения регулирования;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- является ли указанная цель обоснованной, важной для достижения;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- является ли предлагаемый способ решения проблем (регулирование) наиболее предпочтительным;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- какие выгоды и преимущества могут возникнуть в случае принятия предлагаемого регулирования;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- какие риски и негативные последствия могут возникнуть в случае принятия предлагаемого регулирования;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- существуют ли более эффективные альтернативные способы решения проблем;</w:t>
      </w:r>
    </w:p>
    <w:p w:rsidR="00675619" w:rsidRPr="00691060" w:rsidRDefault="00675619" w:rsidP="0067561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60">
        <w:rPr>
          <w:rFonts w:ascii="Times New Roman" w:eastAsia="Times New Roman" w:hAnsi="Times New Roman" w:cs="Times New Roman"/>
          <w:sz w:val="28"/>
          <w:szCs w:val="28"/>
        </w:rPr>
        <w:t>- общее мнение относительно предлагаемого регулирования.</w:t>
      </w:r>
    </w:p>
    <w:p w:rsidR="00675619" w:rsidRPr="00691060" w:rsidRDefault="00675619" w:rsidP="00675619">
      <w:pPr>
        <w:rPr>
          <w:rFonts w:ascii="Times New Roman" w:hAnsi="Times New Roman" w:cs="Times New Roman"/>
          <w:sz w:val="28"/>
          <w:szCs w:val="28"/>
        </w:rPr>
      </w:pPr>
      <w:r w:rsidRPr="00691060">
        <w:rPr>
          <w:rFonts w:ascii="Times New Roman" w:hAnsi="Times New Roman" w:cs="Times New Roman"/>
          <w:sz w:val="28"/>
          <w:szCs w:val="28"/>
        </w:rPr>
        <w:t>Контакты и сроки для обсуждения информации уведомления: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3748"/>
      </w:tblGrid>
      <w:tr w:rsidR="00675619" w:rsidRPr="00691060" w:rsidTr="00675619"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675619" w:rsidP="00675619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60">
              <w:rPr>
                <w:rFonts w:ascii="Times New Roman" w:hAnsi="Times New Roman" w:cs="Times New Roman"/>
                <w:sz w:val="28"/>
                <w:szCs w:val="28"/>
              </w:rPr>
              <w:t>1. Предложения принимаются: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675619" w:rsidP="00675619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5619" w:rsidRPr="00691060" w:rsidTr="00675619">
        <w:tc>
          <w:tcPr>
            <w:tcW w:w="3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675619" w:rsidP="00675619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60"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1E45B7" w:rsidP="001E45B7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B7">
              <w:rPr>
                <w:rFonts w:ascii="Times New Roman" w:hAnsi="Times New Roman" w:cs="Times New Roman"/>
                <w:sz w:val="28"/>
                <w:szCs w:val="28"/>
              </w:rPr>
              <w:t>z_beishebaeva@mz.med.kg</w:t>
            </w:r>
          </w:p>
        </w:tc>
      </w:tr>
      <w:tr w:rsidR="00675619" w:rsidRPr="00691060" w:rsidTr="00A912C8">
        <w:tc>
          <w:tcPr>
            <w:tcW w:w="37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675619" w:rsidP="00675619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60">
              <w:rPr>
                <w:rFonts w:ascii="Times New Roman" w:hAnsi="Times New Roman" w:cs="Times New Roman"/>
                <w:sz w:val="28"/>
                <w:szCs w:val="28"/>
              </w:rPr>
              <w:t>- на почтовый адрес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A912C8" w:rsidP="001E45B7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720040, </w:t>
            </w:r>
            <w:r w:rsidR="001E45B7">
              <w:rPr>
                <w:rFonts w:ascii="Times New Roman" w:hAnsi="Times New Roman" w:cs="Times New Roman"/>
                <w:sz w:val="28"/>
                <w:szCs w:val="28"/>
              </w:rPr>
              <w:t>г. Бишкек, ул. Московская 148</w:t>
            </w:r>
          </w:p>
        </w:tc>
      </w:tr>
      <w:tr w:rsidR="00675619" w:rsidRPr="00691060" w:rsidTr="00A912C8"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675619" w:rsidP="00675619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91060">
              <w:rPr>
                <w:rFonts w:ascii="Times New Roman" w:hAnsi="Times New Roman" w:cs="Times New Roman"/>
                <w:sz w:val="28"/>
                <w:szCs w:val="28"/>
              </w:rPr>
              <w:t>2. Срок приема предложений не позднее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A912C8" w:rsidP="00A912C8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 г.</w:t>
            </w:r>
          </w:p>
        </w:tc>
      </w:tr>
      <w:tr w:rsidR="00675619" w:rsidRPr="00691060" w:rsidTr="00A912C8">
        <w:tc>
          <w:tcPr>
            <w:tcW w:w="37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675619" w:rsidP="00675619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619" w:rsidRPr="00691060" w:rsidRDefault="00A912C8" w:rsidP="00A912C8">
            <w:pPr>
              <w:spacing w:after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 г.</w:t>
            </w:r>
          </w:p>
        </w:tc>
      </w:tr>
    </w:tbl>
    <w:bookmarkEnd w:id="0"/>
    <w:p w:rsidR="00675619" w:rsidRPr="00675619" w:rsidRDefault="00675619" w:rsidP="00675619">
      <w:pPr>
        <w:rPr>
          <w:rFonts w:ascii="Times New Roman" w:hAnsi="Times New Roman" w:cs="Times New Roman"/>
          <w:sz w:val="28"/>
          <w:szCs w:val="28"/>
        </w:rPr>
      </w:pPr>
      <w:r w:rsidRPr="00675619">
        <w:rPr>
          <w:rFonts w:ascii="Times New Roman" w:hAnsi="Times New Roman" w:cs="Times New Roman"/>
          <w:sz w:val="28"/>
          <w:szCs w:val="28"/>
        </w:rPr>
        <w:t> </w:t>
      </w:r>
    </w:p>
    <w:p w:rsidR="0046762E" w:rsidRDefault="0046762E"/>
    <w:sectPr w:rsidR="0046762E" w:rsidSect="00467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52505C"/>
    <w:multiLevelType w:val="hybridMultilevel"/>
    <w:tmpl w:val="1A265F1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A9BCCB"/>
    <w:multiLevelType w:val="hybridMultilevel"/>
    <w:tmpl w:val="5053558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F95239"/>
    <w:multiLevelType w:val="hybridMultilevel"/>
    <w:tmpl w:val="1643278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1EF53BE"/>
    <w:multiLevelType w:val="hybridMultilevel"/>
    <w:tmpl w:val="5FC0A578"/>
    <w:lvl w:ilvl="0" w:tplc="F1F037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214F5"/>
    <w:multiLevelType w:val="hybridMultilevel"/>
    <w:tmpl w:val="FE331E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19"/>
    <w:rsid w:val="001E45B7"/>
    <w:rsid w:val="0046762E"/>
    <w:rsid w:val="004D73D0"/>
    <w:rsid w:val="005A5162"/>
    <w:rsid w:val="00675619"/>
    <w:rsid w:val="00691060"/>
    <w:rsid w:val="00817409"/>
    <w:rsid w:val="00865346"/>
    <w:rsid w:val="009B7267"/>
    <w:rsid w:val="00A912C8"/>
    <w:rsid w:val="00B93E71"/>
    <w:rsid w:val="00EB151A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E3CA8-BF3E-4361-A8D2-0C4D4AA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3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Aidana Aitnazarova</cp:lastModifiedBy>
  <cp:revision>2</cp:revision>
  <cp:lastPrinted>2023-05-04T03:46:00Z</cp:lastPrinted>
  <dcterms:created xsi:type="dcterms:W3CDTF">2023-05-04T04:03:00Z</dcterms:created>
  <dcterms:modified xsi:type="dcterms:W3CDTF">2023-05-04T04:03:00Z</dcterms:modified>
</cp:coreProperties>
</file>